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872DF" w14:textId="5E67263F" w:rsidR="0064512D" w:rsidRPr="0074618E" w:rsidRDefault="0029599E" w:rsidP="0064512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OLE_LINK1"/>
      <w:bookmarkStart w:id="1" w:name="OLE_LINK2"/>
      <w:r w:rsidRPr="0074618E">
        <w:rPr>
          <w:lang w:val="en-US"/>
        </w:rPr>
        <w:t>3GPP TSG</w:t>
      </w:r>
      <w:r>
        <w:rPr>
          <w:lang w:val="en-US"/>
        </w:rPr>
        <w:t xml:space="preserve"> </w:t>
      </w:r>
      <w:r w:rsidRPr="0074618E">
        <w:rPr>
          <w:lang w:val="en-US"/>
        </w:rPr>
        <w:t xml:space="preserve">RAN WG1 </w:t>
      </w:r>
      <w:r>
        <w:rPr>
          <w:lang w:val="en-US"/>
        </w:rPr>
        <w:t>Meeting #92</w:t>
      </w:r>
      <w:r w:rsidR="0064512D" w:rsidRPr="0074618E">
        <w:rPr>
          <w:lang w:val="en-US"/>
        </w:rPr>
        <w:tab/>
      </w:r>
      <w:r w:rsidRPr="0029599E">
        <w:rPr>
          <w:sz w:val="32"/>
          <w:szCs w:val="32"/>
          <w:lang w:val="en-US"/>
        </w:rPr>
        <w:t>R1-1802772</w:t>
      </w:r>
    </w:p>
    <w:p w14:paraId="082BB945" w14:textId="39DCCFAB" w:rsidR="0064512D" w:rsidRDefault="0029599E" w:rsidP="006451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Pr="00AB78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– March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2018</w:t>
      </w:r>
    </w:p>
    <w:p w14:paraId="106F40E5" w14:textId="77777777" w:rsidR="00424DB8" w:rsidRPr="00776D52" w:rsidRDefault="00424DB8" w:rsidP="00424DB8">
      <w:pPr>
        <w:pStyle w:val="TdocHeader2"/>
        <w:rPr>
          <w:sz w:val="22"/>
        </w:rPr>
      </w:pPr>
    </w:p>
    <w:p w14:paraId="171946D8" w14:textId="77777777" w:rsidR="00424DB8" w:rsidRPr="00B657AC" w:rsidRDefault="00424DB8" w:rsidP="00424DB8">
      <w:pPr>
        <w:pStyle w:val="TdocHeader2"/>
        <w:rPr>
          <w:sz w:val="20"/>
          <w:lang w:val="en-US"/>
        </w:rPr>
      </w:pPr>
      <w:r w:rsidRPr="00B657AC">
        <w:rPr>
          <w:sz w:val="20"/>
          <w:lang w:val="en-US"/>
        </w:rPr>
        <w:t xml:space="preserve">Source: </w:t>
      </w:r>
      <w:r w:rsidRPr="00B657AC">
        <w:rPr>
          <w:sz w:val="20"/>
          <w:lang w:val="en-US"/>
        </w:rPr>
        <w:tab/>
        <w:t>Ericsson</w:t>
      </w:r>
    </w:p>
    <w:p w14:paraId="3FBF820B" w14:textId="7F1858A6" w:rsidR="00424DB8" w:rsidRPr="00B657AC" w:rsidRDefault="00424DB8" w:rsidP="00424DB8">
      <w:pPr>
        <w:pStyle w:val="TdocHeader2"/>
        <w:rPr>
          <w:sz w:val="20"/>
          <w:lang w:val="en-US"/>
        </w:rPr>
      </w:pPr>
      <w:r w:rsidRPr="00B657AC">
        <w:rPr>
          <w:sz w:val="20"/>
          <w:lang w:val="en-US"/>
        </w:rPr>
        <w:t>Title:</w:t>
      </w:r>
      <w:bookmarkStart w:id="2" w:name="Title"/>
      <w:bookmarkEnd w:id="2"/>
      <w:r w:rsidR="001F7E7D">
        <w:rPr>
          <w:sz w:val="20"/>
          <w:lang w:val="en-US"/>
        </w:rPr>
        <w:tab/>
      </w:r>
      <w:r w:rsidR="00972F4D">
        <w:rPr>
          <w:sz w:val="20"/>
          <w:lang w:val="en-US"/>
        </w:rPr>
        <w:t xml:space="preserve">On </w:t>
      </w:r>
      <w:r w:rsidR="002369BE">
        <w:rPr>
          <w:sz w:val="20"/>
          <w:lang w:val="en-US"/>
        </w:rPr>
        <w:t>NR-U Deployment Scenarios</w:t>
      </w:r>
    </w:p>
    <w:p w14:paraId="30ECB4F7" w14:textId="1A9324FD" w:rsidR="00424DB8" w:rsidRPr="00B657AC" w:rsidRDefault="00424DB8" w:rsidP="00424DB8">
      <w:pPr>
        <w:pStyle w:val="TdocHeader2"/>
        <w:rPr>
          <w:sz w:val="20"/>
          <w:lang w:val="en-US"/>
        </w:rPr>
      </w:pPr>
      <w:r w:rsidRPr="00B657AC">
        <w:rPr>
          <w:sz w:val="20"/>
          <w:lang w:val="en-US"/>
        </w:rPr>
        <w:t>Agenda Item:</w:t>
      </w:r>
      <w:r w:rsidRPr="00B657AC">
        <w:rPr>
          <w:sz w:val="20"/>
          <w:lang w:val="en-US"/>
        </w:rPr>
        <w:tab/>
      </w:r>
      <w:r w:rsidR="00B21DEE">
        <w:rPr>
          <w:bCs/>
          <w:iCs/>
          <w:sz w:val="20"/>
        </w:rPr>
        <w:t>7.6.2</w:t>
      </w:r>
    </w:p>
    <w:p w14:paraId="03E740D3" w14:textId="77777777" w:rsidR="00424DB8" w:rsidRPr="00B657AC" w:rsidRDefault="00424DB8" w:rsidP="00424DB8">
      <w:pPr>
        <w:pStyle w:val="TdocHeader2"/>
        <w:rPr>
          <w:sz w:val="20"/>
          <w:lang w:val="en-US"/>
        </w:rPr>
      </w:pPr>
      <w:r w:rsidRPr="00B657AC">
        <w:rPr>
          <w:sz w:val="20"/>
          <w:lang w:val="en-US"/>
        </w:rPr>
        <w:t>Document for:</w:t>
      </w:r>
      <w:r w:rsidRPr="00B657AC">
        <w:rPr>
          <w:sz w:val="20"/>
          <w:lang w:val="en-US"/>
        </w:rPr>
        <w:tab/>
        <w:t>Discussion and Decision</w:t>
      </w:r>
    </w:p>
    <w:p w14:paraId="59AE9101" w14:textId="77777777" w:rsidR="00424DB8" w:rsidRDefault="00424DB8" w:rsidP="00424DB8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3" w:name="_Ref298777854"/>
      <w:bookmarkStart w:id="4" w:name="_Toc458153810"/>
      <w:bookmarkEnd w:id="0"/>
      <w:bookmarkEnd w:id="1"/>
      <w:r w:rsidRPr="00310B2F">
        <w:t>Introduction</w:t>
      </w:r>
      <w:bookmarkEnd w:id="3"/>
      <w:bookmarkEnd w:id="4"/>
    </w:p>
    <w:p w14:paraId="1957F467" w14:textId="2E1651EF" w:rsidR="002369BE" w:rsidRPr="002369BE" w:rsidRDefault="0034197E" w:rsidP="002369BE">
      <w:pPr>
        <w:pStyle w:val="BodyText"/>
      </w:pPr>
      <w:r>
        <w:t>To</w:t>
      </w:r>
      <w:r w:rsidR="00557EB8">
        <w:t xml:space="preserve"> efficiently utilize the large amounts of unlicensed spectrum available worldwide, both licensed operation and unlicensed operation are considered for NR. At RAN-75, a study item on NR-based Access to Unlicensed Spectrum was approved</w:t>
      </w:r>
      <w:r w:rsidR="00034FB6">
        <w:t xml:space="preserve"> </w:t>
      </w:r>
      <w:r w:rsidR="00034FB6">
        <w:fldChar w:fldCharType="begin"/>
      </w:r>
      <w:r w:rsidR="00034FB6">
        <w:instrText xml:space="preserve"> REF _Ref481486326 \r \h </w:instrText>
      </w:r>
      <w:r w:rsidR="00034FB6">
        <w:fldChar w:fldCharType="separate"/>
      </w:r>
      <w:r w:rsidR="00447256">
        <w:t>[1]</w:t>
      </w:r>
      <w:r w:rsidR="00034FB6">
        <w:fldChar w:fldCharType="end"/>
      </w:r>
      <w:r w:rsidR="00557EB8">
        <w:t xml:space="preserve">. </w:t>
      </w:r>
      <w:r w:rsidR="002369BE" w:rsidRPr="002369BE">
        <w:t xml:space="preserve">The NR </w:t>
      </w:r>
      <w:r w:rsidR="002369BE">
        <w:t>Unlicensed Study Item D</w:t>
      </w:r>
      <w:r w:rsidR="002369BE" w:rsidRPr="002369BE">
        <w:t>escription lists the following architectural scenarios:</w:t>
      </w:r>
    </w:p>
    <w:p w14:paraId="5E47C58B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r w:rsidRPr="002369BE">
        <w:rPr>
          <w:lang w:val="en-GB"/>
        </w:rPr>
        <w:t xml:space="preserve"> </w:t>
      </w:r>
      <w:r w:rsidRPr="002369BE">
        <w:t>An NR-based LAA cell(s) connects with an LTE or NR anchor cell operating in licensed spectrum</w:t>
      </w:r>
    </w:p>
    <w:p w14:paraId="02725332" w14:textId="4E04AEC7" w:rsidR="002369BE" w:rsidRPr="002369BE" w:rsidRDefault="002369BE" w:rsidP="002369BE">
      <w:pPr>
        <w:pStyle w:val="BodyText"/>
        <w:numPr>
          <w:ilvl w:val="1"/>
          <w:numId w:val="46"/>
        </w:numPr>
      </w:pPr>
      <w:r w:rsidRPr="002369BE">
        <w:t>The study assumes the techniques for linking between P</w:t>
      </w:r>
      <w:r w:rsidR="00F14C12">
        <w:t>C</w:t>
      </w:r>
      <w:r w:rsidRPr="002369BE">
        <w:t>ell (LTE or NR licensed CC) and S</w:t>
      </w:r>
      <w:r w:rsidR="00F14C12">
        <w:t>C</w:t>
      </w:r>
      <w:r w:rsidRPr="002369BE">
        <w:t>ell (NR unlicensed CCs) according to the NR WI</w:t>
      </w:r>
    </w:p>
    <w:p w14:paraId="76EE55A4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r w:rsidRPr="002369BE">
        <w:t xml:space="preserve">An NR-based cell operating standalone in unlicensed spectrum, connected to a 5G-CN network with priority on frequency bands above 6GHz, e.g., for private network deployments; </w:t>
      </w:r>
    </w:p>
    <w:p w14:paraId="3058626D" w14:textId="77777777" w:rsidR="002369BE" w:rsidRPr="002369BE" w:rsidRDefault="002369BE" w:rsidP="002369BE">
      <w:pPr>
        <w:pStyle w:val="BodyText"/>
      </w:pPr>
      <w:r w:rsidRPr="002369BE">
        <w:t>Based on the above, the following deployment scenarios can be identified:</w:t>
      </w:r>
    </w:p>
    <w:p w14:paraId="49C4C517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r w:rsidRPr="002369BE">
        <w:t>Carrier aggregation between licensed band NR (PCell) and NR-U (SCell)</w:t>
      </w:r>
    </w:p>
    <w:p w14:paraId="1CC9E6DD" w14:textId="77777777" w:rsidR="002369BE" w:rsidRPr="002369BE" w:rsidRDefault="002369BE" w:rsidP="002369BE">
      <w:pPr>
        <w:pStyle w:val="BodyText"/>
        <w:numPr>
          <w:ilvl w:val="1"/>
          <w:numId w:val="46"/>
        </w:numPr>
      </w:pPr>
      <w:r w:rsidRPr="002369BE">
        <w:t>NR-U SCell may have both DL and UL, or DL-only.</w:t>
      </w:r>
    </w:p>
    <w:p w14:paraId="08AA6828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bookmarkStart w:id="5" w:name="_Hlk500847837"/>
      <w:r w:rsidRPr="002369BE">
        <w:t>Dual connectivity between licensed band NR (PCell) and NR-U (PSCell</w:t>
      </w:r>
      <w:bookmarkEnd w:id="5"/>
      <w:r w:rsidRPr="002369BE">
        <w:t>)</w:t>
      </w:r>
    </w:p>
    <w:p w14:paraId="0C6A7F08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r w:rsidRPr="002369BE">
        <w:t xml:space="preserve">Dual connectivity </w:t>
      </w:r>
      <w:bookmarkStart w:id="6" w:name="_Hlk500847868"/>
      <w:r w:rsidRPr="002369BE">
        <w:t>between licensed band LTE (PCell) and NR-U (PSCell)</w:t>
      </w:r>
      <w:bookmarkEnd w:id="6"/>
    </w:p>
    <w:p w14:paraId="6C9807BB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r w:rsidRPr="002369BE">
        <w:t>Stand-alone NR-U</w:t>
      </w:r>
    </w:p>
    <w:p w14:paraId="04D1C24B" w14:textId="1B87E7C9" w:rsidR="00606F68" w:rsidRDefault="00557EB8" w:rsidP="00606F68">
      <w:pPr>
        <w:pStyle w:val="BodyText"/>
      </w:pPr>
      <w:r>
        <w:t xml:space="preserve">In this </w:t>
      </w:r>
      <w:r w:rsidR="00034FB6">
        <w:t xml:space="preserve">contribution we discuss </w:t>
      </w:r>
      <w:r w:rsidR="002369BE">
        <w:t>the deployment scenarios in more detail and give our view on prioritization.</w:t>
      </w:r>
      <w:r w:rsidR="00C908B5">
        <w:t xml:space="preserve"> This is a resubmission of </w:t>
      </w:r>
      <w:r w:rsidR="00C908B5" w:rsidRPr="00C908B5">
        <w:t>R1-1800717</w:t>
      </w:r>
      <w:bookmarkStart w:id="7" w:name="_GoBack"/>
      <w:bookmarkEnd w:id="7"/>
      <w:r w:rsidR="00C908B5">
        <w:t>.</w:t>
      </w:r>
    </w:p>
    <w:p w14:paraId="7C2DECC5" w14:textId="77777777" w:rsidR="00C94256" w:rsidRPr="00E16CD2" w:rsidRDefault="00C94256" w:rsidP="00606F68">
      <w:pPr>
        <w:pStyle w:val="BodyText"/>
      </w:pPr>
    </w:p>
    <w:p w14:paraId="290EDF0B" w14:textId="746DF96F" w:rsidR="00126477" w:rsidRDefault="00424DB8" w:rsidP="00824DD9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8" w:name="_Toc458153811"/>
      <w:r>
        <w:t>Discussion</w:t>
      </w:r>
      <w:bookmarkEnd w:id="8"/>
    </w:p>
    <w:p w14:paraId="65864645" w14:textId="2E8A0F4D" w:rsidR="00CD3BE7" w:rsidRDefault="00126477" w:rsidP="008D481C">
      <w:pPr>
        <w:pStyle w:val="Heading2"/>
      </w:pPr>
      <w:r w:rsidRPr="002369BE">
        <w:t>Carrier aggregation between licensed band NR (PCell) and NR-U (SCell)</w:t>
      </w:r>
    </w:p>
    <w:p w14:paraId="198AD055" w14:textId="7F4E018B" w:rsidR="00447256" w:rsidRDefault="00447256" w:rsidP="00447256">
      <w:pPr>
        <w:pStyle w:val="BodyText"/>
        <w:jc w:val="left"/>
      </w:pPr>
      <w:r>
        <w:t xml:space="preserve">This scenario is </w:t>
      </w:r>
      <w:proofErr w:type="gramStart"/>
      <w:r>
        <w:t>similar to</w:t>
      </w:r>
      <w:proofErr w:type="gramEnd"/>
      <w:r>
        <w:t xml:space="preserve"> the LTE LAA scheme and similar design principle can be reused, e.g. in terms of scheduling strategies and HARQ retransmissions procedures. The NR-U SCell can be configured for DL LAA operations and/or UL LAA operations. </w:t>
      </w:r>
      <w:r>
        <w:br/>
        <w:t xml:space="preserve">In LTE, L1 control signaling as well as the random access do not apply to the LAA SCells. We note that in other NR-U scenarios, e.g. for the NR-U standalone or dual connectivity cases described in the following sections, PUCCH and PRACH in NR-U cells need to be supported. Therefore, supporting PUCCH and PRACH in NR-U SCells for the carrier aggregation case seems natural and it might not bring additional complexity from a technical perspective. In addition, it might bring some benefits, e.g. the usage of PUCCH and PRACH on NR-U SCells may be justified for offloading some signaling from the PCell. </w:t>
      </w:r>
    </w:p>
    <w:p w14:paraId="5A3C42CE" w14:textId="77777777" w:rsidR="0067769B" w:rsidRDefault="0067769B" w:rsidP="0067769B">
      <w:pPr>
        <w:pStyle w:val="Proposal"/>
        <w:rPr>
          <w:sz w:val="22"/>
        </w:rPr>
      </w:pPr>
      <w:bookmarkStart w:id="9" w:name="_Toc502751360"/>
      <w:bookmarkStart w:id="10" w:name="_Toc502845504"/>
      <w:bookmarkStart w:id="11" w:name="_Toc502845563"/>
      <w:bookmarkStart w:id="12" w:name="_Toc502848754"/>
      <w:bookmarkStart w:id="13" w:name="_Toc503445179"/>
      <w:r>
        <w:rPr>
          <w:sz w:val="22"/>
        </w:rPr>
        <w:t>DL and UL c</w:t>
      </w:r>
      <w:r w:rsidRPr="00CD3BE7">
        <w:rPr>
          <w:sz w:val="22"/>
        </w:rPr>
        <w:t>arrier aggregation between licensed band NR (PCell</w:t>
      </w:r>
      <w:r>
        <w:rPr>
          <w:sz w:val="22"/>
        </w:rPr>
        <w:t>/PSCell</w:t>
      </w:r>
      <w:r w:rsidRPr="00CD3BE7">
        <w:rPr>
          <w:sz w:val="22"/>
        </w:rPr>
        <w:t>) and NR-U (SCell)</w:t>
      </w:r>
      <w:r>
        <w:rPr>
          <w:sz w:val="22"/>
        </w:rPr>
        <w:t xml:space="preserve"> should be supported</w:t>
      </w:r>
      <w:bookmarkEnd w:id="9"/>
      <w:r>
        <w:rPr>
          <w:sz w:val="22"/>
        </w:rPr>
        <w:t>.</w:t>
      </w:r>
      <w:bookmarkEnd w:id="10"/>
      <w:bookmarkEnd w:id="11"/>
      <w:bookmarkEnd w:id="12"/>
      <w:bookmarkEnd w:id="13"/>
    </w:p>
    <w:p w14:paraId="6E9E3525" w14:textId="075D912A" w:rsidR="0067769B" w:rsidRPr="0067769B" w:rsidRDefault="0067769B" w:rsidP="0067769B">
      <w:pPr>
        <w:pStyle w:val="Proposal"/>
        <w:rPr>
          <w:sz w:val="22"/>
        </w:rPr>
      </w:pPr>
      <w:bookmarkStart w:id="14" w:name="_Toc502845505"/>
      <w:bookmarkStart w:id="15" w:name="_Toc502845564"/>
      <w:bookmarkStart w:id="16" w:name="_Toc502848755"/>
      <w:bookmarkStart w:id="17" w:name="_Toc503445180"/>
      <w:bookmarkEnd w:id="14"/>
      <w:r>
        <w:rPr>
          <w:sz w:val="22"/>
        </w:rPr>
        <w:t>L1 control signalling and PRACH may configured in the NR-U SCell.</w:t>
      </w:r>
      <w:bookmarkEnd w:id="15"/>
      <w:bookmarkEnd w:id="16"/>
      <w:bookmarkEnd w:id="17"/>
    </w:p>
    <w:p w14:paraId="3F11F6DF" w14:textId="71CDCBAC" w:rsidR="003A0F9E" w:rsidRDefault="003A0F9E" w:rsidP="003A0F9E">
      <w:pPr>
        <w:pStyle w:val="BodyText"/>
      </w:pPr>
      <w:r w:rsidRPr="003A0F9E">
        <w:t xml:space="preserve">We also see this scenario as an important building block for Scenarios 2.2-2.4, where carrier aggregation can be done between the NR-U PCell (or </w:t>
      </w:r>
      <w:r w:rsidR="00855ECD">
        <w:t>NR-U PSCell if dual connectivity is configured</w:t>
      </w:r>
      <w:r w:rsidRPr="003A0F9E">
        <w:t>) and other NR-U SCells.</w:t>
      </w:r>
    </w:p>
    <w:p w14:paraId="117E1034" w14:textId="0EDF710A" w:rsidR="003A0F9E" w:rsidRDefault="003A0F9E" w:rsidP="00CE3459">
      <w:pPr>
        <w:pStyle w:val="Proposal"/>
        <w:rPr>
          <w:sz w:val="22"/>
        </w:rPr>
      </w:pPr>
      <w:bookmarkStart w:id="18" w:name="_Toc502751361"/>
      <w:bookmarkStart w:id="19" w:name="_Toc502845506"/>
      <w:bookmarkStart w:id="20" w:name="_Toc502845565"/>
      <w:bookmarkStart w:id="21" w:name="_Toc502848756"/>
      <w:bookmarkStart w:id="22" w:name="_Toc503445181"/>
      <w:r>
        <w:rPr>
          <w:sz w:val="22"/>
        </w:rPr>
        <w:lastRenderedPageBreak/>
        <w:t>DL and UL c</w:t>
      </w:r>
      <w:r w:rsidRPr="00CD3BE7">
        <w:rPr>
          <w:sz w:val="22"/>
        </w:rPr>
        <w:t xml:space="preserve">arrier aggregation between </w:t>
      </w:r>
      <w:r>
        <w:rPr>
          <w:sz w:val="22"/>
        </w:rPr>
        <w:t>un</w:t>
      </w:r>
      <w:r w:rsidRPr="00CD3BE7">
        <w:rPr>
          <w:sz w:val="22"/>
        </w:rPr>
        <w:t>licensed band NR</w:t>
      </w:r>
      <w:r>
        <w:rPr>
          <w:sz w:val="22"/>
        </w:rPr>
        <w:t>-U</w:t>
      </w:r>
      <w:r w:rsidRPr="00CD3BE7">
        <w:rPr>
          <w:sz w:val="22"/>
        </w:rPr>
        <w:t xml:space="preserve"> (PCell</w:t>
      </w:r>
      <w:r>
        <w:rPr>
          <w:sz w:val="22"/>
        </w:rPr>
        <w:t>/PSCell</w:t>
      </w:r>
      <w:r w:rsidRPr="00CD3BE7">
        <w:rPr>
          <w:sz w:val="22"/>
        </w:rPr>
        <w:t>) and NR-U (SCell)</w:t>
      </w:r>
      <w:r>
        <w:rPr>
          <w:sz w:val="22"/>
        </w:rPr>
        <w:t xml:space="preserve"> </w:t>
      </w:r>
      <w:r w:rsidR="00D84861">
        <w:rPr>
          <w:sz w:val="22"/>
        </w:rPr>
        <w:t>should be</w:t>
      </w:r>
      <w:r>
        <w:rPr>
          <w:sz w:val="22"/>
        </w:rPr>
        <w:t xml:space="preserve"> supported</w:t>
      </w:r>
      <w:bookmarkEnd w:id="18"/>
      <w:r w:rsidR="00855ECD">
        <w:rPr>
          <w:sz w:val="22"/>
        </w:rPr>
        <w:t>.</w:t>
      </w:r>
      <w:bookmarkEnd w:id="19"/>
      <w:bookmarkEnd w:id="20"/>
      <w:bookmarkEnd w:id="21"/>
      <w:bookmarkEnd w:id="22"/>
    </w:p>
    <w:p w14:paraId="3F94EE4E" w14:textId="1147651B" w:rsidR="00CD3BE7" w:rsidRPr="00A92D32" w:rsidRDefault="008B1366" w:rsidP="00D14B5E">
      <w:pPr>
        <w:pStyle w:val="Heading2"/>
        <w:rPr>
          <w:lang w:val="en-GB"/>
        </w:rPr>
      </w:pPr>
      <w:r w:rsidRPr="00A92D32">
        <w:rPr>
          <w:rFonts w:ascii="Arial" w:hAnsi="Arial"/>
          <w:szCs w:val="24"/>
          <w:lang w:eastAsia="ko-KR"/>
        </w:rPr>
        <w:t>Dual connectivity between licensed band NR (PCell) and NR-U (PSCell)</w:t>
      </w:r>
    </w:p>
    <w:p w14:paraId="76D83441" w14:textId="13A0BCCF" w:rsidR="008B1366" w:rsidRDefault="008B1366" w:rsidP="008B1366">
      <w:pPr>
        <w:pStyle w:val="BodyText"/>
      </w:pPr>
      <w:r>
        <w:t xml:space="preserve">This scenario needs to be </w:t>
      </w:r>
      <w:r w:rsidR="00A92D32">
        <w:t>considered</w:t>
      </w:r>
      <w:r>
        <w:t xml:space="preserve"> to address deployment of non-collocated licensed and unlicensed gNBs. In this scenario, Rel.15 NR PDCP can be configured to handle MCG (Master Cell Group) bearers and split bearers towards the NR-U </w:t>
      </w:r>
      <w:proofErr w:type="spellStart"/>
      <w:r>
        <w:t>SgNB</w:t>
      </w:r>
      <w:proofErr w:type="spellEnd"/>
      <w:r>
        <w:t xml:space="preserve">. SCG (Secondary Cell Group) bearers may also be configured in the </w:t>
      </w:r>
      <w:proofErr w:type="spellStart"/>
      <w:r>
        <w:t>SgNB</w:t>
      </w:r>
      <w:proofErr w:type="spellEnd"/>
      <w:r>
        <w:t xml:space="preserve">. </w:t>
      </w:r>
    </w:p>
    <w:p w14:paraId="6876AFD3" w14:textId="20F851AB" w:rsidR="00CD3BE7" w:rsidRDefault="008B1366" w:rsidP="008B1366">
      <w:pPr>
        <w:pStyle w:val="BodyText"/>
      </w:pPr>
      <w:r>
        <w:t xml:space="preserve">However, </w:t>
      </w:r>
      <w:bookmarkStart w:id="23" w:name="_Hlk502750770"/>
      <w:r>
        <w:t xml:space="preserve">dual connectivity with only-NR cells is not supported </w:t>
      </w:r>
      <w:r w:rsidR="005E2B51">
        <w:t>until NR phase 2</w:t>
      </w:r>
      <w:r>
        <w:t xml:space="preserve">, and it would </w:t>
      </w:r>
      <w:r w:rsidR="00D84861">
        <w:t xml:space="preserve">thus </w:t>
      </w:r>
      <w:r>
        <w:t>be preferred to wait progress on that first</w:t>
      </w:r>
      <w:bookmarkEnd w:id="23"/>
      <w:r>
        <w:t>.</w:t>
      </w:r>
    </w:p>
    <w:p w14:paraId="1C592019" w14:textId="47608981" w:rsidR="00D84861" w:rsidRDefault="00447256" w:rsidP="00D84861">
      <w:pPr>
        <w:pStyle w:val="BodyText"/>
        <w:numPr>
          <w:ilvl w:val="0"/>
          <w:numId w:val="44"/>
        </w:numPr>
        <w:tabs>
          <w:tab w:val="clear" w:pos="1304"/>
          <w:tab w:val="num" w:pos="1701"/>
        </w:tabs>
        <w:ind w:left="1701" w:hanging="1701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Specification of d</w:t>
      </w:r>
      <w:r w:rsidR="00D84861" w:rsidRPr="00D84861">
        <w:rPr>
          <w:rFonts w:ascii="Arial" w:hAnsi="Arial" w:cs="Arial"/>
          <w:b/>
        </w:rPr>
        <w:t xml:space="preserve">ual connectivity with only-NR cells is </w:t>
      </w:r>
      <w:r>
        <w:rPr>
          <w:rFonts w:ascii="Arial" w:hAnsi="Arial" w:cs="Arial"/>
          <w:b/>
        </w:rPr>
        <w:t xml:space="preserve">not yet concluded in RAN2, </w:t>
      </w:r>
      <w:r w:rsidR="00D84861" w:rsidRPr="00D84861">
        <w:rPr>
          <w:rFonts w:ascii="Arial" w:hAnsi="Arial" w:cs="Arial"/>
          <w:b/>
        </w:rPr>
        <w:t>and it would thus be preferred to wait progress on that first</w:t>
      </w:r>
      <w:r w:rsidR="00F24698">
        <w:rPr>
          <w:rFonts w:ascii="Arial" w:hAnsi="Arial" w:cs="Arial"/>
          <w:b/>
        </w:rPr>
        <w:t>.</w:t>
      </w:r>
    </w:p>
    <w:p w14:paraId="009FAB1E" w14:textId="77777777" w:rsidR="00A92D32" w:rsidRDefault="00A92D32" w:rsidP="00447256">
      <w:pPr>
        <w:pStyle w:val="BodyText"/>
        <w:rPr>
          <w:rFonts w:ascii="Arial" w:hAnsi="Arial" w:cs="Arial"/>
          <w:b/>
          <w:lang w:val="en-GB"/>
        </w:rPr>
      </w:pPr>
    </w:p>
    <w:p w14:paraId="406A0C1D" w14:textId="3DA26851" w:rsidR="00D84861" w:rsidRPr="00126477" w:rsidRDefault="00D84861" w:rsidP="005B7477">
      <w:pPr>
        <w:pStyle w:val="Heading2"/>
      </w:pPr>
      <w:r w:rsidRPr="00A92D32">
        <w:rPr>
          <w:lang w:val="en-GB"/>
        </w:rPr>
        <w:t>Dual connectivity between licensed band LTE (PCell) and NR-U (PSCell)</w:t>
      </w:r>
    </w:p>
    <w:p w14:paraId="6C6238DB" w14:textId="74CB00B5" w:rsidR="00D84861" w:rsidRDefault="00D84861" w:rsidP="001E19C0">
      <w:pPr>
        <w:pStyle w:val="BodyText"/>
      </w:pPr>
      <w:r w:rsidRPr="00D84861">
        <w:t xml:space="preserve">We think that it is a key scenario to support. From L1/2 perspective, this scenario is very similar to DC between NR and NR-U described above. From architecture perspective, the EN-DC architecture agreed for Rel.15 can be reused, i.e. the network can configure E-UTRA PDCP </w:t>
      </w:r>
      <w:r w:rsidR="004037FE">
        <w:t xml:space="preserve">or NR PDCP </w:t>
      </w:r>
      <w:r w:rsidRPr="00D84861">
        <w:t xml:space="preserve">to handle MCG bearers, </w:t>
      </w:r>
      <w:r w:rsidR="004037FE">
        <w:t>while</w:t>
      </w:r>
      <w:r w:rsidRPr="00D84861">
        <w:t xml:space="preserve"> NR PDCP </w:t>
      </w:r>
      <w:r w:rsidR="004037FE">
        <w:t xml:space="preserve">is always used </w:t>
      </w:r>
      <w:r w:rsidRPr="00D84861">
        <w:t>to handle split bearers and SCG bearers.</w:t>
      </w:r>
    </w:p>
    <w:p w14:paraId="63628F15" w14:textId="57C66297" w:rsidR="00D84861" w:rsidRDefault="00D84861" w:rsidP="00D84861">
      <w:pPr>
        <w:pStyle w:val="Proposal"/>
        <w:rPr>
          <w:sz w:val="22"/>
        </w:rPr>
      </w:pPr>
      <w:bookmarkStart w:id="24" w:name="_Toc502751362"/>
      <w:bookmarkStart w:id="25" w:name="_Toc502845507"/>
      <w:bookmarkStart w:id="26" w:name="_Toc502845566"/>
      <w:bookmarkStart w:id="27" w:name="_Toc502848757"/>
      <w:bookmarkStart w:id="28" w:name="_Toc503445182"/>
      <w:r w:rsidRPr="00D84861">
        <w:rPr>
          <w:sz w:val="22"/>
        </w:rPr>
        <w:t>Dual connectivity between licensed band LTE (PCell) and NR-U (PSCell)</w:t>
      </w:r>
      <w:r>
        <w:rPr>
          <w:sz w:val="22"/>
        </w:rPr>
        <w:t xml:space="preserve"> </w:t>
      </w:r>
      <w:r w:rsidRPr="00D84861">
        <w:rPr>
          <w:sz w:val="22"/>
        </w:rPr>
        <w:t>should be supported</w:t>
      </w:r>
      <w:bookmarkEnd w:id="24"/>
      <w:bookmarkEnd w:id="25"/>
      <w:bookmarkEnd w:id="26"/>
      <w:r w:rsidR="004037FE">
        <w:rPr>
          <w:sz w:val="22"/>
        </w:rPr>
        <w:t>.</w:t>
      </w:r>
      <w:bookmarkEnd w:id="27"/>
      <w:bookmarkEnd w:id="28"/>
    </w:p>
    <w:p w14:paraId="3B0BDE2A" w14:textId="77777777" w:rsidR="00A92D32" w:rsidRPr="00D84861" w:rsidRDefault="00A92D32" w:rsidP="00A92D32">
      <w:pPr>
        <w:pStyle w:val="Proposal"/>
        <w:numPr>
          <w:ilvl w:val="0"/>
          <w:numId w:val="0"/>
        </w:numPr>
        <w:ind w:left="1304"/>
        <w:rPr>
          <w:sz w:val="22"/>
        </w:rPr>
      </w:pPr>
    </w:p>
    <w:p w14:paraId="777E84A3" w14:textId="77777777" w:rsidR="00A92D32" w:rsidRPr="00D6216C" w:rsidRDefault="00A92D32" w:rsidP="00A92D32">
      <w:pPr>
        <w:pStyle w:val="Heading2"/>
        <w:tabs>
          <w:tab w:val="num" w:pos="576"/>
        </w:tabs>
        <w:jc w:val="both"/>
        <w:rPr>
          <w:rFonts w:ascii="Arial" w:hAnsi="Arial"/>
          <w:szCs w:val="24"/>
          <w:lang w:eastAsia="ko-KR"/>
        </w:rPr>
      </w:pPr>
      <w:r w:rsidRPr="005052A5">
        <w:rPr>
          <w:rFonts w:ascii="Arial" w:hAnsi="Arial"/>
          <w:szCs w:val="24"/>
          <w:lang w:eastAsia="ko-KR"/>
        </w:rPr>
        <w:t>Stand</w:t>
      </w:r>
      <w:r>
        <w:rPr>
          <w:rFonts w:ascii="Arial" w:hAnsi="Arial"/>
          <w:szCs w:val="24"/>
          <w:lang w:eastAsia="ko-KR"/>
        </w:rPr>
        <w:t>-</w:t>
      </w:r>
      <w:r w:rsidRPr="005052A5">
        <w:rPr>
          <w:rFonts w:ascii="Arial" w:hAnsi="Arial"/>
          <w:szCs w:val="24"/>
          <w:lang w:eastAsia="ko-KR"/>
        </w:rPr>
        <w:t>alone NR-U</w:t>
      </w:r>
    </w:p>
    <w:p w14:paraId="4DE687C1" w14:textId="3BC0A616" w:rsidR="00A92D32" w:rsidRDefault="00A92D32" w:rsidP="00A92D32">
      <w:pPr>
        <w:pStyle w:val="BodyText"/>
        <w:rPr>
          <w:lang w:val="en-GB"/>
        </w:rPr>
      </w:pPr>
      <w:r>
        <w:rPr>
          <w:lang w:val="en-GB"/>
        </w:rPr>
        <w:t>W</w:t>
      </w:r>
      <w:r w:rsidRPr="00A92D32">
        <w:rPr>
          <w:lang w:val="en-GB"/>
        </w:rPr>
        <w:t xml:space="preserve">e think this is a key scenario to support. Aggregation of more than one NR-U serving cell should also </w:t>
      </w:r>
      <w:r w:rsidR="001B30DE">
        <w:rPr>
          <w:lang w:val="en-GB"/>
        </w:rPr>
        <w:t xml:space="preserve">be </w:t>
      </w:r>
      <w:r w:rsidRPr="00A92D32">
        <w:rPr>
          <w:lang w:val="en-GB"/>
        </w:rPr>
        <w:t xml:space="preserve">supported, along with dual connectivity </w:t>
      </w:r>
      <w:r w:rsidR="001118C5">
        <w:rPr>
          <w:lang w:val="en-GB"/>
        </w:rPr>
        <w:t xml:space="preserve">(once dual connectivity between NR cells is supported) </w:t>
      </w:r>
      <w:r w:rsidRPr="00A92D32">
        <w:rPr>
          <w:lang w:val="en-GB"/>
        </w:rPr>
        <w:t xml:space="preserve">as indicated in previous scenarios. </w:t>
      </w:r>
    </w:p>
    <w:p w14:paraId="1A7B3D09" w14:textId="1237BF13" w:rsidR="00D84861" w:rsidRDefault="00A92D32" w:rsidP="00A92D32">
      <w:pPr>
        <w:pStyle w:val="BodyText"/>
        <w:rPr>
          <w:lang w:val="en-GB"/>
        </w:rPr>
      </w:pPr>
      <w:r w:rsidRPr="00A92D32">
        <w:rPr>
          <w:lang w:val="en-GB"/>
        </w:rPr>
        <w:t xml:space="preserve">In this scenario, </w:t>
      </w:r>
      <w:r w:rsidR="001B30DE" w:rsidRPr="00A92D32">
        <w:rPr>
          <w:lang w:val="en-GB"/>
        </w:rPr>
        <w:t>like</w:t>
      </w:r>
      <w:r w:rsidRPr="00A92D32">
        <w:rPr>
          <w:lang w:val="en-GB"/>
        </w:rPr>
        <w:t xml:space="preserve"> </w:t>
      </w:r>
      <w:r w:rsidR="001B30DE">
        <w:rPr>
          <w:lang w:val="en-GB"/>
        </w:rPr>
        <w:t xml:space="preserve">in </w:t>
      </w:r>
      <w:r w:rsidRPr="00A92D32">
        <w:rPr>
          <w:lang w:val="en-GB"/>
        </w:rPr>
        <w:t xml:space="preserve">the DC case, L1 control signalling </w:t>
      </w:r>
      <w:r w:rsidR="00A40244">
        <w:rPr>
          <w:lang w:val="en-GB"/>
        </w:rPr>
        <w:t xml:space="preserve">and </w:t>
      </w:r>
      <w:proofErr w:type="gramStart"/>
      <w:r w:rsidR="00A40244">
        <w:rPr>
          <w:lang w:val="en-GB"/>
        </w:rPr>
        <w:t>random access</w:t>
      </w:r>
      <w:proofErr w:type="gramEnd"/>
      <w:r w:rsidR="00A40244">
        <w:rPr>
          <w:lang w:val="en-GB"/>
        </w:rPr>
        <w:t xml:space="preserve"> procedures </w:t>
      </w:r>
      <w:r w:rsidRPr="00A92D32">
        <w:rPr>
          <w:lang w:val="en-GB"/>
        </w:rPr>
        <w:t>need to be supported along with RRM functionalities</w:t>
      </w:r>
      <w:r w:rsidR="00552837">
        <w:rPr>
          <w:lang w:val="en-GB"/>
        </w:rPr>
        <w:t xml:space="preserve"> and system information/paging provisioning</w:t>
      </w:r>
      <w:r w:rsidRPr="00A92D32">
        <w:rPr>
          <w:lang w:val="en-GB"/>
        </w:rPr>
        <w:t xml:space="preserve">. On top of it, also mobility </w:t>
      </w:r>
      <w:r w:rsidR="00552837">
        <w:rPr>
          <w:lang w:val="en-GB"/>
        </w:rPr>
        <w:t xml:space="preserve">may </w:t>
      </w:r>
      <w:r w:rsidRPr="00A92D32">
        <w:rPr>
          <w:lang w:val="en-GB"/>
        </w:rPr>
        <w:t>need to be handled, e.g. handover</w:t>
      </w:r>
      <w:r w:rsidR="001118C5">
        <w:rPr>
          <w:lang w:val="en-GB"/>
        </w:rPr>
        <w:t xml:space="preserve"> and</w:t>
      </w:r>
      <w:r w:rsidRPr="00A92D32">
        <w:rPr>
          <w:lang w:val="en-GB"/>
        </w:rPr>
        <w:t xml:space="preserve"> cell (re)selection.</w:t>
      </w:r>
    </w:p>
    <w:p w14:paraId="0EA1AE3E" w14:textId="3C2D0983" w:rsidR="001B30DE" w:rsidRDefault="001B30DE" w:rsidP="001B30DE">
      <w:pPr>
        <w:pStyle w:val="Proposal"/>
        <w:rPr>
          <w:sz w:val="22"/>
        </w:rPr>
      </w:pPr>
      <w:bookmarkStart w:id="29" w:name="_Toc502751363"/>
      <w:bookmarkStart w:id="30" w:name="_Toc502845508"/>
      <w:bookmarkStart w:id="31" w:name="_Toc502845567"/>
      <w:bookmarkStart w:id="32" w:name="_Toc502848758"/>
      <w:bookmarkStart w:id="33" w:name="_Toc503445183"/>
      <w:r>
        <w:rPr>
          <w:sz w:val="22"/>
        </w:rPr>
        <w:t xml:space="preserve">Stand-alone NR-U </w:t>
      </w:r>
      <w:r w:rsidRPr="00D84861">
        <w:rPr>
          <w:sz w:val="22"/>
        </w:rPr>
        <w:t>should be supported</w:t>
      </w:r>
      <w:bookmarkEnd w:id="29"/>
      <w:bookmarkEnd w:id="30"/>
      <w:bookmarkEnd w:id="31"/>
      <w:r w:rsidR="004037FE">
        <w:rPr>
          <w:sz w:val="22"/>
        </w:rPr>
        <w:t>.</w:t>
      </w:r>
      <w:bookmarkEnd w:id="32"/>
      <w:bookmarkEnd w:id="33"/>
    </w:p>
    <w:p w14:paraId="6F5D12A3" w14:textId="77777777" w:rsidR="001B30DE" w:rsidRDefault="001B30DE" w:rsidP="001B30DE">
      <w:pPr>
        <w:pStyle w:val="Proposal"/>
        <w:numPr>
          <w:ilvl w:val="0"/>
          <w:numId w:val="0"/>
        </w:numPr>
        <w:ind w:left="1304"/>
        <w:rPr>
          <w:sz w:val="22"/>
        </w:rPr>
      </w:pPr>
    </w:p>
    <w:p w14:paraId="7405B782" w14:textId="77777777" w:rsidR="00424DB8" w:rsidRDefault="00424DB8" w:rsidP="00424DB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34" w:name="_Toc458153812"/>
      <w:r>
        <w:t>Conclusion</w:t>
      </w:r>
      <w:bookmarkEnd w:id="34"/>
    </w:p>
    <w:p w14:paraId="1A5DDAC8" w14:textId="43121C9D" w:rsidR="00424DB8" w:rsidRPr="00F63C5D" w:rsidRDefault="00424DB8" w:rsidP="001E19C0">
      <w:pPr>
        <w:pStyle w:val="BodyText"/>
      </w:pPr>
      <w:r w:rsidRPr="00F63C5D">
        <w:t xml:space="preserve">In this contribution, we discussed </w:t>
      </w:r>
      <w:r w:rsidR="001B30DE">
        <w:t>different deployment scenarios for NR-U and b</w:t>
      </w:r>
      <w:r w:rsidR="00171B2D">
        <w:rPr>
          <w:szCs w:val="22"/>
        </w:rPr>
        <w:t>ased on the discussion</w:t>
      </w:r>
      <w:r w:rsidR="00171B2D">
        <w:t xml:space="preserve"> we have made the following proposals:</w:t>
      </w:r>
    </w:p>
    <w:p w14:paraId="5593497C" w14:textId="77777777" w:rsidR="00447256" w:rsidRDefault="00855EC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447256">
        <w:t>Proposal 1</w:t>
      </w:r>
      <w:r w:rsidR="0044725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47256">
        <w:t>DL and UL carrier aggregation between licensed band NR (PCell/PSCell) and NR-U (SCell) should be supported.</w:t>
      </w:r>
    </w:p>
    <w:p w14:paraId="0E770187" w14:textId="77777777" w:rsidR="00447256" w:rsidRDefault="004472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L1 control signalling and PRACH may configured in the NR-U SCell.</w:t>
      </w:r>
    </w:p>
    <w:p w14:paraId="0682459A" w14:textId="77777777" w:rsidR="00447256" w:rsidRDefault="004472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DL and UL carrier aggregation between unlicensed band NR-U (PCell/PSCell) and NR-U (SCell) should be supported.</w:t>
      </w:r>
    </w:p>
    <w:p w14:paraId="4EB4E934" w14:textId="77777777" w:rsidR="00447256" w:rsidRDefault="004472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Dual connectivity between licensed band LTE (PCell) and NR-U (PSCell) should be supported.</w:t>
      </w:r>
    </w:p>
    <w:p w14:paraId="0D635BF1" w14:textId="77777777" w:rsidR="00447256" w:rsidRDefault="004472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Stand-alone NR-U should be supported.</w:t>
      </w:r>
    </w:p>
    <w:p w14:paraId="08D94B77" w14:textId="28BC2990" w:rsidR="00424DB8" w:rsidRPr="00D00AE7" w:rsidRDefault="00855ECD" w:rsidP="00855ECD">
      <w:r>
        <w:rPr>
          <w:b/>
          <w:bCs/>
        </w:rPr>
        <w:fldChar w:fldCharType="end"/>
      </w:r>
    </w:p>
    <w:p w14:paraId="15DE84EB" w14:textId="77777777" w:rsidR="00557EB8" w:rsidRDefault="00557EB8" w:rsidP="00557EB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00"/>
        <w:jc w:val="both"/>
        <w:textAlignment w:val="baseline"/>
        <w:rPr>
          <w:lang w:eastAsia="ja-JP"/>
        </w:rPr>
      </w:pPr>
      <w:r>
        <w:t>Reference</w:t>
      </w:r>
      <w:r w:rsidRPr="00AA4666">
        <w:rPr>
          <w:lang w:eastAsia="ja-JP"/>
        </w:rPr>
        <w:t>s</w:t>
      </w:r>
    </w:p>
    <w:p w14:paraId="149DF3C1" w14:textId="14D43288" w:rsidR="00557EB8" w:rsidRPr="008F4BFD" w:rsidRDefault="00733DE2" w:rsidP="00733DE2">
      <w:pPr>
        <w:pStyle w:val="BodyText"/>
        <w:numPr>
          <w:ilvl w:val="0"/>
          <w:numId w:val="13"/>
        </w:numPr>
        <w:rPr>
          <w:szCs w:val="22"/>
          <w:lang w:val="en-GB" w:eastAsia="ja-JP"/>
        </w:rPr>
      </w:pPr>
      <w:bookmarkStart w:id="35" w:name="_Ref479756368"/>
      <w:bookmarkStart w:id="36" w:name="_Ref481486326"/>
      <w:bookmarkStart w:id="37" w:name="_Ref479755974"/>
      <w:r w:rsidRPr="00733DE2">
        <w:t>RP-172021</w:t>
      </w:r>
      <w:r w:rsidR="00557EB8">
        <w:t>, “</w:t>
      </w:r>
      <w:r w:rsidR="00557EB8" w:rsidRPr="0024305A">
        <w:t>New SID on NR-based Access to Unlicensed Spectrum</w:t>
      </w:r>
      <w:r w:rsidR="00557EB8">
        <w:t>”, Qualcomm</w:t>
      </w:r>
      <w:bookmarkEnd w:id="35"/>
      <w:r w:rsidR="00557EB8">
        <w:t>.</w:t>
      </w:r>
      <w:bookmarkEnd w:id="36"/>
    </w:p>
    <w:bookmarkEnd w:id="37"/>
    <w:p w14:paraId="1330D5CC" w14:textId="77777777" w:rsidR="00022DEC" w:rsidRPr="00424DB8" w:rsidRDefault="00022DEC" w:rsidP="00424DB8"/>
    <w:sectPr w:rsidR="00022DEC" w:rsidRPr="00424DB8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C5BCF" w14:textId="77777777" w:rsidR="00074772" w:rsidRDefault="00074772">
      <w:r>
        <w:separator/>
      </w:r>
    </w:p>
  </w:endnote>
  <w:endnote w:type="continuationSeparator" w:id="0">
    <w:p w14:paraId="7DA9D4B2" w14:textId="77777777" w:rsidR="00074772" w:rsidRDefault="00074772">
      <w:r>
        <w:continuationSeparator/>
      </w:r>
    </w:p>
  </w:endnote>
  <w:endnote w:type="continuationNotice" w:id="1">
    <w:p w14:paraId="1237BAC7" w14:textId="77777777" w:rsidR="00074772" w:rsidRDefault="000747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9D5D8" w14:textId="0BB2323E" w:rsidR="006E0E5A" w:rsidRDefault="00D20D4C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08B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908B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6256A" w14:textId="77777777" w:rsidR="00074772" w:rsidRDefault="00074772">
      <w:r>
        <w:separator/>
      </w:r>
    </w:p>
  </w:footnote>
  <w:footnote w:type="continuationSeparator" w:id="0">
    <w:p w14:paraId="76004B08" w14:textId="77777777" w:rsidR="00074772" w:rsidRDefault="00074772">
      <w:r>
        <w:continuationSeparator/>
      </w:r>
    </w:p>
  </w:footnote>
  <w:footnote w:type="continuationNotice" w:id="1">
    <w:p w14:paraId="5CD2D470" w14:textId="77777777" w:rsidR="00074772" w:rsidRDefault="000747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795CD" w14:textId="77777777" w:rsidR="006E0E5A" w:rsidRDefault="00D20D4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5" w15:restartNumberingAfterBreak="0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F45118"/>
    <w:multiLevelType w:val="hybridMultilevel"/>
    <w:tmpl w:val="7A9E96E6"/>
    <w:lvl w:ilvl="0" w:tplc="85CC47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E0296E">
      <w:start w:val="20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9924BF4">
      <w:start w:val="2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0983A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F277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7A16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4C7D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482A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F8BD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B12BA6"/>
    <w:multiLevelType w:val="hybridMultilevel"/>
    <w:tmpl w:val="7FFC5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7697A"/>
    <w:multiLevelType w:val="hybridMultilevel"/>
    <w:tmpl w:val="52ECA3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C7393"/>
    <w:multiLevelType w:val="hybridMultilevel"/>
    <w:tmpl w:val="561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2D395F"/>
    <w:multiLevelType w:val="hybridMultilevel"/>
    <w:tmpl w:val="68EC994A"/>
    <w:lvl w:ilvl="0" w:tplc="14F2CA7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5EC98C">
      <w:start w:val="24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1FE1FFC">
      <w:start w:val="244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A24A4B8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885D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0E24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2C917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4DDC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A4C93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F261B"/>
    <w:multiLevelType w:val="hybridMultilevel"/>
    <w:tmpl w:val="3D1A9C48"/>
    <w:lvl w:ilvl="0" w:tplc="98A8FE50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C423FB"/>
    <w:multiLevelType w:val="hybridMultilevel"/>
    <w:tmpl w:val="F47E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66328"/>
    <w:multiLevelType w:val="hybridMultilevel"/>
    <w:tmpl w:val="7D3A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7"/>
  </w:num>
  <w:num w:numId="2">
    <w:abstractNumId w:val="43"/>
  </w:num>
  <w:num w:numId="3">
    <w:abstractNumId w:val="21"/>
  </w:num>
  <w:num w:numId="4">
    <w:abstractNumId w:val="4"/>
  </w:num>
  <w:num w:numId="5">
    <w:abstractNumId w:val="44"/>
  </w:num>
  <w:num w:numId="6">
    <w:abstractNumId w:val="37"/>
  </w:num>
  <w:num w:numId="7">
    <w:abstractNumId w:val="32"/>
  </w:num>
  <w:num w:numId="8">
    <w:abstractNumId w:val="24"/>
  </w:num>
  <w:num w:numId="9">
    <w:abstractNumId w:val="13"/>
  </w:num>
  <w:num w:numId="10">
    <w:abstractNumId w:val="35"/>
  </w:num>
  <w:num w:numId="11">
    <w:abstractNumId w:val="20"/>
  </w:num>
  <w:num w:numId="12">
    <w:abstractNumId w:val="33"/>
  </w:num>
  <w:num w:numId="13">
    <w:abstractNumId w:val="31"/>
  </w:num>
  <w:num w:numId="14">
    <w:abstractNumId w:val="19"/>
  </w:num>
  <w:num w:numId="15">
    <w:abstractNumId w:val="10"/>
  </w:num>
  <w:num w:numId="16">
    <w:abstractNumId w:val="8"/>
  </w:num>
  <w:num w:numId="17">
    <w:abstractNumId w:val="40"/>
  </w:num>
  <w:num w:numId="18">
    <w:abstractNumId w:val="12"/>
  </w:num>
  <w:num w:numId="19">
    <w:abstractNumId w:val="2"/>
  </w:num>
  <w:num w:numId="20">
    <w:abstractNumId w:val="0"/>
  </w:num>
  <w:num w:numId="21">
    <w:abstractNumId w:val="36"/>
  </w:num>
  <w:num w:numId="22">
    <w:abstractNumId w:val="34"/>
  </w:num>
  <w:num w:numId="23">
    <w:abstractNumId w:val="3"/>
  </w:num>
  <w:num w:numId="24">
    <w:abstractNumId w:val="11"/>
  </w:num>
  <w:num w:numId="25">
    <w:abstractNumId w:val="7"/>
  </w:num>
  <w:num w:numId="26">
    <w:abstractNumId w:val="5"/>
  </w:num>
  <w:num w:numId="27">
    <w:abstractNumId w:val="18"/>
  </w:num>
  <w:num w:numId="28">
    <w:abstractNumId w:val="1"/>
  </w:num>
  <w:num w:numId="29">
    <w:abstractNumId w:val="14"/>
  </w:num>
  <w:num w:numId="3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3"/>
  </w:num>
  <w:num w:numId="33">
    <w:abstractNumId w:val="17"/>
  </w:num>
  <w:num w:numId="34">
    <w:abstractNumId w:val="39"/>
  </w:num>
  <w:num w:numId="35">
    <w:abstractNumId w:val="26"/>
  </w:num>
  <w:num w:numId="36">
    <w:abstractNumId w:val="41"/>
  </w:num>
  <w:num w:numId="37">
    <w:abstractNumId w:val="42"/>
  </w:num>
  <w:num w:numId="38">
    <w:abstractNumId w:val="22"/>
  </w:num>
  <w:num w:numId="39">
    <w:abstractNumId w:val="16"/>
  </w:num>
  <w:num w:numId="40">
    <w:abstractNumId w:val="30"/>
  </w:num>
  <w:num w:numId="41">
    <w:abstractNumId w:val="25"/>
  </w:num>
  <w:num w:numId="42">
    <w:abstractNumId w:val="25"/>
    <w:lvlOverride w:ilvl="0">
      <w:startOverride w:val="1"/>
    </w:lvlOverride>
  </w:num>
  <w:num w:numId="43">
    <w:abstractNumId w:val="28"/>
  </w:num>
  <w:num w:numId="44">
    <w:abstractNumId w:val="38"/>
  </w:num>
  <w:num w:numId="45">
    <w:abstractNumId w:val="9"/>
  </w:num>
  <w:num w:numId="46">
    <w:abstractNumId w:val="29"/>
  </w:num>
  <w:num w:numId="4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5B5"/>
    <w:rsid w:val="00025A9E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4FB6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B1B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7F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99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77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0E68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AC9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335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1637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32B8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387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18C5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477"/>
    <w:rsid w:val="001266B5"/>
    <w:rsid w:val="00127310"/>
    <w:rsid w:val="0012778F"/>
    <w:rsid w:val="00127896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641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1FBE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1B2D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348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510C"/>
    <w:rsid w:val="001A52D2"/>
    <w:rsid w:val="001A5557"/>
    <w:rsid w:val="001A5894"/>
    <w:rsid w:val="001A6CC9"/>
    <w:rsid w:val="001A72F3"/>
    <w:rsid w:val="001A7510"/>
    <w:rsid w:val="001A7623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0DE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1ACA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26F3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9C0"/>
    <w:rsid w:val="001E1A19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1F7E7D"/>
    <w:rsid w:val="0020018E"/>
    <w:rsid w:val="00200624"/>
    <w:rsid w:val="00201707"/>
    <w:rsid w:val="00201DDB"/>
    <w:rsid w:val="00201EB3"/>
    <w:rsid w:val="00202559"/>
    <w:rsid w:val="0020289C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4E9"/>
    <w:rsid w:val="00233918"/>
    <w:rsid w:val="00233C52"/>
    <w:rsid w:val="00233CF6"/>
    <w:rsid w:val="00233ED8"/>
    <w:rsid w:val="00234305"/>
    <w:rsid w:val="00235198"/>
    <w:rsid w:val="002353EA"/>
    <w:rsid w:val="00235B4A"/>
    <w:rsid w:val="002369BE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562"/>
    <w:rsid w:val="00243667"/>
    <w:rsid w:val="002444B0"/>
    <w:rsid w:val="00244757"/>
    <w:rsid w:val="00244DEC"/>
    <w:rsid w:val="002450CD"/>
    <w:rsid w:val="002452AD"/>
    <w:rsid w:val="00245324"/>
    <w:rsid w:val="00245800"/>
    <w:rsid w:val="00245AB5"/>
    <w:rsid w:val="00245AD3"/>
    <w:rsid w:val="00245D93"/>
    <w:rsid w:val="00245F88"/>
    <w:rsid w:val="00247888"/>
    <w:rsid w:val="00247B97"/>
    <w:rsid w:val="00247BAE"/>
    <w:rsid w:val="00250846"/>
    <w:rsid w:val="00251171"/>
    <w:rsid w:val="00252137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084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7AA"/>
    <w:rsid w:val="00294E52"/>
    <w:rsid w:val="00295053"/>
    <w:rsid w:val="0029599E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81A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67F"/>
    <w:rsid w:val="002B2CF7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039B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2C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940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22F"/>
    <w:rsid w:val="002F1D94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2F7F5C"/>
    <w:rsid w:val="0030044B"/>
    <w:rsid w:val="00300D67"/>
    <w:rsid w:val="0030166F"/>
    <w:rsid w:val="0030170B"/>
    <w:rsid w:val="0030260F"/>
    <w:rsid w:val="003027D1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59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31B"/>
    <w:rsid w:val="00316432"/>
    <w:rsid w:val="00317000"/>
    <w:rsid w:val="0031712C"/>
    <w:rsid w:val="0031748E"/>
    <w:rsid w:val="003178F4"/>
    <w:rsid w:val="00317E6E"/>
    <w:rsid w:val="00320F1A"/>
    <w:rsid w:val="0032146D"/>
    <w:rsid w:val="003215FB"/>
    <w:rsid w:val="0032169B"/>
    <w:rsid w:val="00321CFA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97E"/>
    <w:rsid w:val="00341E58"/>
    <w:rsid w:val="00342000"/>
    <w:rsid w:val="0034259C"/>
    <w:rsid w:val="00342623"/>
    <w:rsid w:val="003427A1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D98"/>
    <w:rsid w:val="00350413"/>
    <w:rsid w:val="00350479"/>
    <w:rsid w:val="00351212"/>
    <w:rsid w:val="00351468"/>
    <w:rsid w:val="00351812"/>
    <w:rsid w:val="00352A4F"/>
    <w:rsid w:val="00352FDA"/>
    <w:rsid w:val="00353184"/>
    <w:rsid w:val="00353A6D"/>
    <w:rsid w:val="003549DB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57F26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4F39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2D2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499D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0F9E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4AF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277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CFE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931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37FE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5E9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4DB8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56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DB9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7E0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1B00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9B6"/>
    <w:rsid w:val="00491F8D"/>
    <w:rsid w:val="00491FD6"/>
    <w:rsid w:val="0049204A"/>
    <w:rsid w:val="00492357"/>
    <w:rsid w:val="004925C1"/>
    <w:rsid w:val="0049265D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7EF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4BEA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78C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5D65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2837"/>
    <w:rsid w:val="00552DFD"/>
    <w:rsid w:val="00552F9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EB8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7C8"/>
    <w:rsid w:val="00573A6C"/>
    <w:rsid w:val="005744B0"/>
    <w:rsid w:val="00574651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9BD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EAC"/>
    <w:rsid w:val="005A4FFE"/>
    <w:rsid w:val="005A5459"/>
    <w:rsid w:val="005A592C"/>
    <w:rsid w:val="005A60DA"/>
    <w:rsid w:val="005A6486"/>
    <w:rsid w:val="005A65B0"/>
    <w:rsid w:val="005A6621"/>
    <w:rsid w:val="005A74C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129"/>
    <w:rsid w:val="005B4170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1B90"/>
    <w:rsid w:val="005C1FD3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2B51"/>
    <w:rsid w:val="005E2FC1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35E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6F68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3F8C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1BD0"/>
    <w:rsid w:val="006324F5"/>
    <w:rsid w:val="00632569"/>
    <w:rsid w:val="00632ABC"/>
    <w:rsid w:val="00633A3D"/>
    <w:rsid w:val="00633A77"/>
    <w:rsid w:val="00633DEC"/>
    <w:rsid w:val="0063437A"/>
    <w:rsid w:val="00634A51"/>
    <w:rsid w:val="006353F5"/>
    <w:rsid w:val="00635454"/>
    <w:rsid w:val="0063620A"/>
    <w:rsid w:val="006365C8"/>
    <w:rsid w:val="006369B1"/>
    <w:rsid w:val="00636D80"/>
    <w:rsid w:val="006373E0"/>
    <w:rsid w:val="0063745B"/>
    <w:rsid w:val="006377D0"/>
    <w:rsid w:val="00637B75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12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7769B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09"/>
    <w:rsid w:val="00693153"/>
    <w:rsid w:val="006932D3"/>
    <w:rsid w:val="006938C5"/>
    <w:rsid w:val="0069395F"/>
    <w:rsid w:val="00694961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5DC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D68"/>
    <w:rsid w:val="006B1E75"/>
    <w:rsid w:val="006B2135"/>
    <w:rsid w:val="006B27E0"/>
    <w:rsid w:val="006B2B46"/>
    <w:rsid w:val="006B2E02"/>
    <w:rsid w:val="006B4743"/>
    <w:rsid w:val="006B5DF8"/>
    <w:rsid w:val="006B5F04"/>
    <w:rsid w:val="006B652A"/>
    <w:rsid w:val="006B6762"/>
    <w:rsid w:val="006B78BC"/>
    <w:rsid w:val="006C03A8"/>
    <w:rsid w:val="006C09A4"/>
    <w:rsid w:val="006C0B65"/>
    <w:rsid w:val="006C0B92"/>
    <w:rsid w:val="006C0DCA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15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6B9"/>
    <w:rsid w:val="00703706"/>
    <w:rsid w:val="00703745"/>
    <w:rsid w:val="0070378E"/>
    <w:rsid w:val="007039A1"/>
    <w:rsid w:val="007041B7"/>
    <w:rsid w:val="00704660"/>
    <w:rsid w:val="007048C6"/>
    <w:rsid w:val="00704BB7"/>
    <w:rsid w:val="00704CFD"/>
    <w:rsid w:val="00704D0A"/>
    <w:rsid w:val="00705168"/>
    <w:rsid w:val="007053C0"/>
    <w:rsid w:val="0070583A"/>
    <w:rsid w:val="00705875"/>
    <w:rsid w:val="00705884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3C5E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1DC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155"/>
    <w:rsid w:val="007333FC"/>
    <w:rsid w:val="007336D2"/>
    <w:rsid w:val="00733B0C"/>
    <w:rsid w:val="00733DE2"/>
    <w:rsid w:val="007340FE"/>
    <w:rsid w:val="0073457A"/>
    <w:rsid w:val="00734A86"/>
    <w:rsid w:val="00734BE2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18E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D52"/>
    <w:rsid w:val="00776EF9"/>
    <w:rsid w:val="007771B0"/>
    <w:rsid w:val="00777725"/>
    <w:rsid w:val="00777AE2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4A5E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1F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3F4"/>
    <w:rsid w:val="007F16D4"/>
    <w:rsid w:val="007F173B"/>
    <w:rsid w:val="007F2286"/>
    <w:rsid w:val="007F274C"/>
    <w:rsid w:val="007F278E"/>
    <w:rsid w:val="007F2DD8"/>
    <w:rsid w:val="007F32D1"/>
    <w:rsid w:val="007F34DD"/>
    <w:rsid w:val="007F3609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1DA8"/>
    <w:rsid w:val="0081208C"/>
    <w:rsid w:val="00812690"/>
    <w:rsid w:val="00812772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89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5EC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FAB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87FA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554"/>
    <w:rsid w:val="008A7670"/>
    <w:rsid w:val="008B0589"/>
    <w:rsid w:val="008B0C98"/>
    <w:rsid w:val="008B0CA7"/>
    <w:rsid w:val="008B11F1"/>
    <w:rsid w:val="008B1366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7FB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3F2"/>
    <w:rsid w:val="008D55BA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4BFD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D66"/>
    <w:rsid w:val="00915E83"/>
    <w:rsid w:val="009161BE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9EE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69A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2F4D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4B2A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171"/>
    <w:rsid w:val="009932D4"/>
    <w:rsid w:val="009939EB"/>
    <w:rsid w:val="00993A47"/>
    <w:rsid w:val="009941C6"/>
    <w:rsid w:val="009943AE"/>
    <w:rsid w:val="0099490F"/>
    <w:rsid w:val="009959F2"/>
    <w:rsid w:val="00995FEE"/>
    <w:rsid w:val="009968D9"/>
    <w:rsid w:val="00996BD1"/>
    <w:rsid w:val="009975B5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26A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307"/>
    <w:rsid w:val="009E6A82"/>
    <w:rsid w:val="009E6AF8"/>
    <w:rsid w:val="009E79EB"/>
    <w:rsid w:val="009F0068"/>
    <w:rsid w:val="009F04EE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4E93"/>
    <w:rsid w:val="009F507F"/>
    <w:rsid w:val="009F530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2E1B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FA2"/>
    <w:rsid w:val="00A4018D"/>
    <w:rsid w:val="00A40244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5785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B37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26B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2D32"/>
    <w:rsid w:val="00A936B9"/>
    <w:rsid w:val="00A93933"/>
    <w:rsid w:val="00A93C6F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149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066"/>
    <w:rsid w:val="00AB566F"/>
    <w:rsid w:val="00AB5EFA"/>
    <w:rsid w:val="00AB6671"/>
    <w:rsid w:val="00AB6B62"/>
    <w:rsid w:val="00AB6EED"/>
    <w:rsid w:val="00AB6F4E"/>
    <w:rsid w:val="00AB7069"/>
    <w:rsid w:val="00AB71C3"/>
    <w:rsid w:val="00AB71D5"/>
    <w:rsid w:val="00AB72BF"/>
    <w:rsid w:val="00AB78BF"/>
    <w:rsid w:val="00AB78CD"/>
    <w:rsid w:val="00AB7FA0"/>
    <w:rsid w:val="00AC151D"/>
    <w:rsid w:val="00AC1C51"/>
    <w:rsid w:val="00AC2563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6A3B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28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AB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0C4A"/>
    <w:rsid w:val="00B2114F"/>
    <w:rsid w:val="00B21218"/>
    <w:rsid w:val="00B21528"/>
    <w:rsid w:val="00B216A6"/>
    <w:rsid w:val="00B21753"/>
    <w:rsid w:val="00B218BF"/>
    <w:rsid w:val="00B219FC"/>
    <w:rsid w:val="00B21BCD"/>
    <w:rsid w:val="00B21DEE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7AC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3D0"/>
    <w:rsid w:val="00B8261B"/>
    <w:rsid w:val="00B834DE"/>
    <w:rsid w:val="00B8350F"/>
    <w:rsid w:val="00B83798"/>
    <w:rsid w:val="00B837B1"/>
    <w:rsid w:val="00B83F2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A2D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689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1F3F"/>
    <w:rsid w:val="00BA201D"/>
    <w:rsid w:val="00BA246B"/>
    <w:rsid w:val="00BA2482"/>
    <w:rsid w:val="00BA25EB"/>
    <w:rsid w:val="00BA2C33"/>
    <w:rsid w:val="00BA36D4"/>
    <w:rsid w:val="00BA37A1"/>
    <w:rsid w:val="00BA3902"/>
    <w:rsid w:val="00BA3943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4B8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3F06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611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70E"/>
    <w:rsid w:val="00BF0A2D"/>
    <w:rsid w:val="00BF0E9E"/>
    <w:rsid w:val="00BF1A6C"/>
    <w:rsid w:val="00BF1B98"/>
    <w:rsid w:val="00BF1D9A"/>
    <w:rsid w:val="00BF281D"/>
    <w:rsid w:val="00BF2A42"/>
    <w:rsid w:val="00BF2AC0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4B7E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0FF7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888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8E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8B5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6"/>
    <w:rsid w:val="00C9425E"/>
    <w:rsid w:val="00C944F4"/>
    <w:rsid w:val="00C948E0"/>
    <w:rsid w:val="00C9492C"/>
    <w:rsid w:val="00C957CF"/>
    <w:rsid w:val="00C95CE3"/>
    <w:rsid w:val="00C95F97"/>
    <w:rsid w:val="00C961CF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274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5C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BE7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048"/>
    <w:rsid w:val="00CE561F"/>
    <w:rsid w:val="00CE5B0F"/>
    <w:rsid w:val="00CE5DEE"/>
    <w:rsid w:val="00CE6B50"/>
    <w:rsid w:val="00CE79C7"/>
    <w:rsid w:val="00CE7CAD"/>
    <w:rsid w:val="00CF032E"/>
    <w:rsid w:val="00CF03A7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18"/>
    <w:rsid w:val="00D20D4C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1CE"/>
    <w:rsid w:val="00D41291"/>
    <w:rsid w:val="00D41C3D"/>
    <w:rsid w:val="00D4225B"/>
    <w:rsid w:val="00D42275"/>
    <w:rsid w:val="00D434CF"/>
    <w:rsid w:val="00D43C18"/>
    <w:rsid w:val="00D440DA"/>
    <w:rsid w:val="00D443C3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47353"/>
    <w:rsid w:val="00D5004A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B94"/>
    <w:rsid w:val="00D55E4E"/>
    <w:rsid w:val="00D560F0"/>
    <w:rsid w:val="00D56EB4"/>
    <w:rsid w:val="00D56F1B"/>
    <w:rsid w:val="00D5799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7F9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861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35CA"/>
    <w:rsid w:val="00DA45C8"/>
    <w:rsid w:val="00DA4A15"/>
    <w:rsid w:val="00DA4CEE"/>
    <w:rsid w:val="00DA5B35"/>
    <w:rsid w:val="00DA62C1"/>
    <w:rsid w:val="00DA68A7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2DE6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110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7F3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61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1E1B"/>
    <w:rsid w:val="00E5236D"/>
    <w:rsid w:val="00E52ABA"/>
    <w:rsid w:val="00E538B2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3F92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69E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3D76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12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698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47F3B"/>
    <w:rsid w:val="00F50320"/>
    <w:rsid w:val="00F50656"/>
    <w:rsid w:val="00F506CF"/>
    <w:rsid w:val="00F508D1"/>
    <w:rsid w:val="00F50DBC"/>
    <w:rsid w:val="00F50F23"/>
    <w:rsid w:val="00F51C5A"/>
    <w:rsid w:val="00F52B60"/>
    <w:rsid w:val="00F53E44"/>
    <w:rsid w:val="00F54257"/>
    <w:rsid w:val="00F54379"/>
    <w:rsid w:val="00F5453B"/>
    <w:rsid w:val="00F54830"/>
    <w:rsid w:val="00F54CD1"/>
    <w:rsid w:val="00F54F46"/>
    <w:rsid w:val="00F55277"/>
    <w:rsid w:val="00F552BF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5D1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5D"/>
    <w:rsid w:val="00F63C8D"/>
    <w:rsid w:val="00F64316"/>
    <w:rsid w:val="00F65427"/>
    <w:rsid w:val="00F659C0"/>
    <w:rsid w:val="00F65B2B"/>
    <w:rsid w:val="00F65C7B"/>
    <w:rsid w:val="00F66400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00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36E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790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E7FFE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3C88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0E3B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4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3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41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657AC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776D52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451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paragraph" w:customStyle="1" w:styleId="Default">
    <w:name w:val="Default"/>
    <w:rsid w:val="00557EB8"/>
    <w:pPr>
      <w:autoSpaceDE w:val="0"/>
      <w:autoSpaceDN w:val="0"/>
      <w:adjustRightInd w:val="0"/>
    </w:pPr>
    <w:rPr>
      <w:color w:val="000000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1149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3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41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2018-02-16T08:24:00Z</dcterms:created>
  <dcterms:modified xsi:type="dcterms:W3CDTF">2018-02-16T10:04:00Z</dcterms:modified>
</cp:coreProperties>
</file>